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953507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5001FA">
        <w:rPr>
          <w:rFonts w:cs="Arial"/>
          <w:sz w:val="24"/>
          <w:szCs w:val="24"/>
        </w:rPr>
        <w:t>5</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5A1C3B">
        <w:rPr>
          <w:rFonts w:cs="Arial"/>
          <w:color w:val="000000"/>
          <w:sz w:val="24"/>
          <w:szCs w:val="24"/>
        </w:rPr>
        <w:t>6167</w:t>
      </w:r>
    </w:p>
    <w:p w14:paraId="2700B07E" w14:textId="1F509166"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5001FA">
        <w:rPr>
          <w:rFonts w:eastAsia="SimSun"/>
          <w:sz w:val="24"/>
          <w:szCs w:val="24"/>
          <w:lang w:eastAsia="zh-CN"/>
        </w:rPr>
        <w:t>May 25 – June 5</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96B49D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41D6B">
        <w:rPr>
          <w:rFonts w:ascii="Arial" w:hAnsi="Arial"/>
          <w:sz w:val="24"/>
          <w:lang w:val="en-US"/>
        </w:rPr>
        <w:t>5.11.3.</w:t>
      </w:r>
      <w:r w:rsidR="000E06C3">
        <w:rPr>
          <w:rFonts w:ascii="Arial" w:hAnsi="Arial"/>
          <w:sz w:val="24"/>
          <w:lang w:val="en-US"/>
        </w:rPr>
        <w:t>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07D362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E06C3">
        <w:rPr>
          <w:rFonts w:ascii="Arial" w:hAnsi="Arial"/>
          <w:sz w:val="24"/>
          <w:lang w:val="en-US"/>
        </w:rPr>
        <w:t>On shorter DRX cycle requirements</w:t>
      </w:r>
      <w:r w:rsidR="009D71D7">
        <w:rPr>
          <w:rFonts w:ascii="Arial" w:hAnsi="Arial"/>
          <w:sz w:val="24"/>
          <w:lang w:val="en-US"/>
        </w:rPr>
        <w:t xml:space="preserve"> in NB-IoT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1B7F55E2" w:rsidR="00832903" w:rsidRDefault="00C74DEB" w:rsidP="00832903">
      <w:pPr>
        <w:rPr>
          <w:lang w:val="en-US"/>
        </w:rPr>
      </w:pPr>
      <w:r>
        <w:rPr>
          <w:lang w:val="en-US"/>
        </w:rPr>
        <w:t xml:space="preserve">In RAN4#94-e meeting, </w:t>
      </w:r>
      <w:proofErr w:type="gramStart"/>
      <w:r w:rsidR="00891E2D">
        <w:rPr>
          <w:lang w:val="en-US"/>
        </w:rPr>
        <w:t>an</w:t>
      </w:r>
      <w:proofErr w:type="gramEnd"/>
      <w:r w:rsidR="00891E2D">
        <w:rPr>
          <w:lang w:val="en-US"/>
        </w:rPr>
        <w:t xml:space="preserve"> LS was received from RAN2 on support for shorter DRX cycles </w:t>
      </w:r>
      <w:r w:rsidR="006F2C34">
        <w:rPr>
          <w:lang w:val="en-US"/>
        </w:rPr>
        <w:t xml:space="preserve">for NB-IoT operation [1] and </w:t>
      </w:r>
      <w:r w:rsidR="00622E12">
        <w:rPr>
          <w:lang w:val="en-US"/>
        </w:rPr>
        <w:t xml:space="preserve">it was agreed to define requirements for </w:t>
      </w:r>
      <w:r w:rsidR="006F2C34">
        <w:rPr>
          <w:lang w:val="en-US"/>
        </w:rPr>
        <w:t>these newer DRX cycles [2]:</w:t>
      </w:r>
    </w:p>
    <w:p w14:paraId="5A60A9CE" w14:textId="73C59293" w:rsidR="001A072D" w:rsidRDefault="001A072D" w:rsidP="00832903">
      <w:pPr>
        <w:rPr>
          <w:lang w:val="en-US"/>
        </w:rPr>
      </w:pPr>
      <w:r w:rsidRPr="0074147F">
        <w:rPr>
          <w:noProof/>
          <w:lang w:val="en-US" w:eastAsia="zh-CN"/>
        </w:rPr>
        <mc:AlternateContent>
          <mc:Choice Requires="wps">
            <w:drawing>
              <wp:inline distT="0" distB="0" distL="0" distR="0" wp14:anchorId="797928CC" wp14:editId="477522D1">
                <wp:extent cx="5881420" cy="18478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847850"/>
                        </a:xfrm>
                        <a:prstGeom prst="rect">
                          <a:avLst/>
                        </a:prstGeom>
                        <a:solidFill>
                          <a:srgbClr val="FFFFFF"/>
                        </a:solidFill>
                        <a:ln w="9525">
                          <a:solidFill>
                            <a:srgbClr val="000000"/>
                          </a:solidFill>
                          <a:miter lim="800000"/>
                          <a:headEnd/>
                          <a:tailEnd/>
                        </a:ln>
                      </wps:spPr>
                      <wps:txbx>
                        <w:txbxContent>
                          <w:p w14:paraId="0C6808EE" w14:textId="1F1654DA" w:rsidR="0097733B" w:rsidRDefault="0029623F" w:rsidP="001A072D">
                            <w:pPr>
                              <w:rPr>
                                <w:rFonts w:eastAsia="Batang"/>
                                <w:b/>
                                <w:lang w:eastAsia="zh-CN"/>
                              </w:rPr>
                            </w:pPr>
                            <w:r w:rsidRPr="0029623F">
                              <w:rPr>
                                <w:rFonts w:eastAsia="Batang"/>
                                <w:b/>
                                <w:lang w:eastAsia="zh-CN"/>
                              </w:rPr>
                              <w:t>Update RRM requirements for new UE specific DRX cycle (320ms and 640ms)</w:t>
                            </w:r>
                          </w:p>
                          <w:p w14:paraId="4357DECD" w14:textId="77777777" w:rsidR="00B936F9" w:rsidRPr="00B936F9" w:rsidRDefault="00B936F9" w:rsidP="00B936F9">
                            <w:pPr>
                              <w:numPr>
                                <w:ilvl w:val="0"/>
                                <w:numId w:val="40"/>
                              </w:numPr>
                              <w:rPr>
                                <w:rFonts w:eastAsia="Batang"/>
                                <w:b/>
                                <w:lang w:val="en-US" w:eastAsia="zh-CN"/>
                              </w:rPr>
                            </w:pPr>
                            <w:r w:rsidRPr="00B936F9">
                              <w:rPr>
                                <w:rFonts w:eastAsia="Batang"/>
                                <w:b/>
                                <w:lang w:val="en-US" w:eastAsia="zh-CN"/>
                              </w:rPr>
                              <w:t>RAN4 shall update RRM requirements for new UE specific DRX cycles (320ms and 640ms) in Rel-16</w:t>
                            </w:r>
                          </w:p>
                          <w:p w14:paraId="1D0B2701" w14:textId="77777777" w:rsidR="00B936F9" w:rsidRPr="00B936F9" w:rsidRDefault="00B936F9" w:rsidP="00B936F9">
                            <w:pPr>
                              <w:numPr>
                                <w:ilvl w:val="0"/>
                                <w:numId w:val="40"/>
                              </w:numPr>
                              <w:rPr>
                                <w:rFonts w:eastAsia="Batang"/>
                                <w:b/>
                                <w:lang w:val="en-US" w:eastAsia="zh-CN"/>
                              </w:rPr>
                            </w:pPr>
                            <w:r w:rsidRPr="00B936F9">
                              <w:rPr>
                                <w:rFonts w:eastAsia="Batang"/>
                                <w:b/>
                                <w:lang w:val="en-US" w:eastAsia="zh-CN"/>
                              </w:rPr>
                              <w:t>Sections need updating including:</w:t>
                            </w:r>
                          </w:p>
                          <w:p w14:paraId="4FE4249C" w14:textId="77777777" w:rsidR="00B936F9" w:rsidRPr="00B936F9" w:rsidRDefault="00B936F9" w:rsidP="00B936F9">
                            <w:pPr>
                              <w:numPr>
                                <w:ilvl w:val="1"/>
                                <w:numId w:val="40"/>
                              </w:numPr>
                              <w:rPr>
                                <w:rFonts w:eastAsia="Batang"/>
                                <w:b/>
                                <w:lang w:val="en-US" w:eastAsia="zh-CN"/>
                              </w:rPr>
                            </w:pPr>
                            <w:r w:rsidRPr="00B936F9">
                              <w:rPr>
                                <w:rFonts w:eastAsia="Batang"/>
                                <w:b/>
                                <w:lang w:val="en-US" w:eastAsia="zh-CN"/>
                              </w:rPr>
                              <w:t>4.6 Cell Selection and Re-selection Requirements for UE category NB1</w:t>
                            </w:r>
                          </w:p>
                          <w:p w14:paraId="7E5D46F1" w14:textId="77777777" w:rsidR="00B936F9" w:rsidRPr="00B936F9" w:rsidRDefault="00B936F9" w:rsidP="00B936F9">
                            <w:pPr>
                              <w:numPr>
                                <w:ilvl w:val="1"/>
                                <w:numId w:val="40"/>
                              </w:numPr>
                              <w:rPr>
                                <w:rFonts w:eastAsia="Batang"/>
                                <w:b/>
                                <w:lang w:val="en-US" w:eastAsia="zh-CN"/>
                              </w:rPr>
                            </w:pPr>
                            <w:r w:rsidRPr="00B936F9">
                              <w:rPr>
                                <w:rFonts w:eastAsia="Batang"/>
                                <w:b/>
                                <w:lang w:val="en-US" w:eastAsia="zh-CN"/>
                              </w:rPr>
                              <w:t>4.8.5-4.8.8 E-CID NRSRP and NRSRQ Measurements for UE category NB2</w:t>
                            </w:r>
                          </w:p>
                          <w:p w14:paraId="5B777652" w14:textId="77777777" w:rsidR="00B936F9" w:rsidRPr="00B936F9" w:rsidRDefault="00B936F9" w:rsidP="00B936F9">
                            <w:pPr>
                              <w:numPr>
                                <w:ilvl w:val="0"/>
                                <w:numId w:val="40"/>
                              </w:numPr>
                              <w:rPr>
                                <w:rFonts w:eastAsia="Batang"/>
                                <w:b/>
                                <w:lang w:val="en-US" w:eastAsia="zh-CN"/>
                              </w:rPr>
                            </w:pPr>
                            <w:r w:rsidRPr="00B936F9">
                              <w:rPr>
                                <w:rFonts w:eastAsia="Batang"/>
                                <w:b/>
                                <w:lang w:val="en-US" w:eastAsia="zh-CN"/>
                              </w:rPr>
                              <w:t>Details of the requirements are FFS.</w:t>
                            </w:r>
                          </w:p>
                          <w:p w14:paraId="36C1E48C" w14:textId="77777777" w:rsidR="00B936F9" w:rsidRPr="009C5EB9" w:rsidRDefault="00B936F9"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">
                <v:textbox>
                  <w:txbxContent>
                    <w:p w14:paraId="0C6808EE" w14:textId="1F1654DA" w:rsidR="0097733B" w:rsidRDefault="0029623F" w:rsidP="001A072D">
                      <w:pPr>
                        <w:rPr>
                          <w:rFonts w:eastAsia="Batang"/>
                          <w:b/>
                          <w:lang w:eastAsia="zh-CN"/>
                        </w:rPr>
                      </w:pPr>
                      <w:r w:rsidRPr="0029623F">
                        <w:rPr>
                          <w:rFonts w:eastAsia="Batang"/>
                          <w:b/>
                          <w:lang w:eastAsia="zh-CN"/>
                        </w:rPr>
                        <w:t>Update RRM requirements for new UE specific DRX cycle (320ms and 640ms)</w:t>
                      </w:r>
                    </w:p>
                    <w:p w14:paraId="4357DECD" w14:textId="77777777" w:rsidR="00B936F9" w:rsidRPr="00B936F9" w:rsidRDefault="00B936F9" w:rsidP="00B936F9">
                      <w:pPr>
                        <w:numPr>
                          <w:ilvl w:val="0"/>
                          <w:numId w:val="40"/>
                        </w:numPr>
                        <w:rPr>
                          <w:rFonts w:eastAsia="Batang"/>
                          <w:b/>
                          <w:lang w:val="en-US" w:eastAsia="zh-CN"/>
                        </w:rPr>
                      </w:pPr>
                      <w:r w:rsidRPr="00B936F9">
                        <w:rPr>
                          <w:rFonts w:eastAsia="Batang"/>
                          <w:b/>
                          <w:lang w:val="en-US" w:eastAsia="zh-CN"/>
                        </w:rPr>
                        <w:t>RAN4 shall update RRM requirements for new UE specific DRX cycles (320ms and 640ms) in Rel-16</w:t>
                      </w:r>
                    </w:p>
                    <w:p w14:paraId="1D0B2701" w14:textId="77777777" w:rsidR="00B936F9" w:rsidRPr="00B936F9" w:rsidRDefault="00B936F9" w:rsidP="00B936F9">
                      <w:pPr>
                        <w:numPr>
                          <w:ilvl w:val="0"/>
                          <w:numId w:val="40"/>
                        </w:numPr>
                        <w:rPr>
                          <w:rFonts w:eastAsia="Batang"/>
                          <w:b/>
                          <w:lang w:val="en-US" w:eastAsia="zh-CN"/>
                        </w:rPr>
                      </w:pPr>
                      <w:r w:rsidRPr="00B936F9">
                        <w:rPr>
                          <w:rFonts w:eastAsia="Batang"/>
                          <w:b/>
                          <w:lang w:val="en-US" w:eastAsia="zh-CN"/>
                        </w:rPr>
                        <w:t>Sections need updating including:</w:t>
                      </w:r>
                    </w:p>
                    <w:p w14:paraId="4FE4249C" w14:textId="77777777" w:rsidR="00B936F9" w:rsidRPr="00B936F9" w:rsidRDefault="00B936F9" w:rsidP="00B936F9">
                      <w:pPr>
                        <w:numPr>
                          <w:ilvl w:val="1"/>
                          <w:numId w:val="40"/>
                        </w:numPr>
                        <w:rPr>
                          <w:rFonts w:eastAsia="Batang"/>
                          <w:b/>
                          <w:lang w:val="en-US" w:eastAsia="zh-CN"/>
                        </w:rPr>
                      </w:pPr>
                      <w:r w:rsidRPr="00B936F9">
                        <w:rPr>
                          <w:rFonts w:eastAsia="Batang"/>
                          <w:b/>
                          <w:lang w:val="en-US" w:eastAsia="zh-CN"/>
                        </w:rPr>
                        <w:t>4.6 Cell Selection and Re-selection Requirements for UE category NB1</w:t>
                      </w:r>
                    </w:p>
                    <w:p w14:paraId="7E5D46F1" w14:textId="77777777" w:rsidR="00B936F9" w:rsidRPr="00B936F9" w:rsidRDefault="00B936F9" w:rsidP="00B936F9">
                      <w:pPr>
                        <w:numPr>
                          <w:ilvl w:val="1"/>
                          <w:numId w:val="40"/>
                        </w:numPr>
                        <w:rPr>
                          <w:rFonts w:eastAsia="Batang"/>
                          <w:b/>
                          <w:lang w:val="en-US" w:eastAsia="zh-CN"/>
                        </w:rPr>
                      </w:pPr>
                      <w:r w:rsidRPr="00B936F9">
                        <w:rPr>
                          <w:rFonts w:eastAsia="Batang"/>
                          <w:b/>
                          <w:lang w:val="en-US" w:eastAsia="zh-CN"/>
                        </w:rPr>
                        <w:t>4.8.5-4.8.8 E-CID NRSRP and NRSRQ Measurements for UE category NB2</w:t>
                      </w:r>
                    </w:p>
                    <w:p w14:paraId="5B777652" w14:textId="77777777" w:rsidR="00B936F9" w:rsidRPr="00B936F9" w:rsidRDefault="00B936F9" w:rsidP="00B936F9">
                      <w:pPr>
                        <w:numPr>
                          <w:ilvl w:val="0"/>
                          <w:numId w:val="40"/>
                        </w:numPr>
                        <w:rPr>
                          <w:rFonts w:eastAsia="Batang"/>
                          <w:b/>
                          <w:lang w:val="en-US" w:eastAsia="zh-CN"/>
                        </w:rPr>
                      </w:pPr>
                      <w:r w:rsidRPr="00B936F9">
                        <w:rPr>
                          <w:rFonts w:eastAsia="Batang"/>
                          <w:b/>
                          <w:lang w:val="en-US" w:eastAsia="zh-CN"/>
                        </w:rPr>
                        <w:t>Details of the requirements are FFS.</w:t>
                      </w:r>
                    </w:p>
                    <w:p w14:paraId="36C1E48C" w14:textId="77777777" w:rsidR="00B936F9" w:rsidRPr="009C5EB9" w:rsidRDefault="00B936F9" w:rsidP="001A072D">
                      <w:pPr>
                        <w:rPr>
                          <w:rFonts w:eastAsia="Batang"/>
                          <w:b/>
                          <w:lang w:eastAsia="zh-CN"/>
                        </w:rPr>
                      </w:pPr>
                    </w:p>
                  </w:txbxContent>
                </v:textbox>
                <w10:anchorlock/>
              </v:shape>
            </w:pict>
          </mc:Fallback>
        </mc:AlternateContent>
      </w:r>
    </w:p>
    <w:p w14:paraId="7D950BC2" w14:textId="3DF0EEDE" w:rsidR="00B936F9" w:rsidRPr="00832903" w:rsidRDefault="00B936F9" w:rsidP="00832903">
      <w:pPr>
        <w:rPr>
          <w:lang w:val="en-US"/>
        </w:rPr>
      </w:pPr>
      <w:r>
        <w:rPr>
          <w:lang w:val="en-US"/>
        </w:rPr>
        <w:t xml:space="preserve">In this paper, we discuss </w:t>
      </w:r>
      <w:r w:rsidR="00E42571">
        <w:rPr>
          <w:lang w:val="en-US"/>
        </w:rPr>
        <w:t>the requirements for shorter DRX cycles of 320ms and 640ms.</w:t>
      </w:r>
    </w:p>
    <w:p w14:paraId="530805C1" w14:textId="4783A358" w:rsidR="0005179F" w:rsidRDefault="00C85E54" w:rsidP="00C85E54">
      <w:pPr>
        <w:pStyle w:val="Heading1"/>
        <w:rPr>
          <w:lang w:val="en-US"/>
        </w:rPr>
      </w:pPr>
      <w:r>
        <w:rPr>
          <w:lang w:val="en-US"/>
        </w:rPr>
        <w:t>Discussion</w:t>
      </w:r>
    </w:p>
    <w:p w14:paraId="471DEAC9" w14:textId="10A8A5B9" w:rsidR="002B69C9" w:rsidRDefault="008F0AF4" w:rsidP="00C85E54">
      <w:pPr>
        <w:rPr>
          <w:lang w:val="en-US"/>
        </w:rPr>
      </w:pPr>
      <w:r>
        <w:rPr>
          <w:lang w:val="en-US"/>
        </w:rPr>
        <w:t>In current requirements for serving cell evaluation</w:t>
      </w:r>
      <w:r w:rsidR="00720A39">
        <w:rPr>
          <w:lang w:val="en-US"/>
        </w:rPr>
        <w:t>, the value of Nserv is not a function of DRX cycle but rather the coverage level. According to Table 4.</w:t>
      </w:r>
      <w:r w:rsidR="005D619F">
        <w:rPr>
          <w:lang w:val="en-US"/>
        </w:rPr>
        <w:t>6.2.1-1 and Table 4.6.</w:t>
      </w:r>
      <w:r w:rsidR="00B459D2">
        <w:rPr>
          <w:lang w:val="en-US"/>
        </w:rPr>
        <w:t xml:space="preserve">2.1-2,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serv</m:t>
            </m:r>
          </m:sub>
        </m:sSub>
        <m:r>
          <w:rPr>
            <w:rFonts w:ascii="Cambria Math" w:hAnsi="Cambria Math"/>
            <w:lang w:val="en-US"/>
          </w:rPr>
          <m:t>=2</m:t>
        </m:r>
      </m:oMath>
      <w:r w:rsidR="00B459D2">
        <w:rPr>
          <w:lang w:val="en-US"/>
        </w:rPr>
        <w:t xml:space="preserve"> for normal coverage and according to Table 4.6.2.3-1 and Table 4.6.2.3-2,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serv</m:t>
            </m:r>
          </m:sub>
        </m:sSub>
        <m:r>
          <w:rPr>
            <w:rFonts w:ascii="Cambria Math" w:hAnsi="Cambria Math"/>
            <w:lang w:val="en-US"/>
          </w:rPr>
          <m:t>=4</m:t>
        </m:r>
      </m:oMath>
      <w:r w:rsidR="00B459D2">
        <w:rPr>
          <w:lang w:val="en-US"/>
        </w:rPr>
        <w:t xml:space="preserve"> for enhanced coverage regardless of DRX cycle length. We propose to extend the same requirements to shorter DRX cycles.</w:t>
      </w:r>
    </w:p>
    <w:p w14:paraId="47B1A0F6" w14:textId="7271B090" w:rsidR="00B459D2" w:rsidRPr="00346738" w:rsidRDefault="00B459D2" w:rsidP="00C85E54">
      <w:pPr>
        <w:rPr>
          <w:b/>
          <w:bCs/>
          <w:lang w:val="en-US"/>
        </w:rPr>
      </w:pPr>
      <w:r w:rsidRPr="00346738">
        <w:rPr>
          <w:b/>
          <w:bCs/>
          <w:lang w:val="en-US"/>
        </w:rPr>
        <w:t xml:space="preserve">Proposal 1. Use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serv</m:t>
            </m:r>
          </m:sub>
        </m:sSub>
        <m:r>
          <m:rPr>
            <m:sty m:val="bi"/>
          </m:rPr>
          <w:rPr>
            <w:rFonts w:ascii="Cambria Math" w:hAnsi="Cambria Math"/>
            <w:lang w:val="en-US"/>
          </w:rPr>
          <m:t>=2</m:t>
        </m:r>
      </m:oMath>
      <w:r w:rsidRPr="00346738">
        <w:rPr>
          <w:b/>
          <w:bCs/>
          <w:lang w:val="en-US"/>
        </w:rPr>
        <w:t xml:space="preserve"> for normal coverage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serv</m:t>
            </m:r>
          </m:sub>
        </m:sSub>
        <m:r>
          <m:rPr>
            <m:sty m:val="bi"/>
          </m:rPr>
          <w:rPr>
            <w:rFonts w:ascii="Cambria Math" w:hAnsi="Cambria Math"/>
            <w:lang w:val="en-US"/>
          </w:rPr>
          <m:t>=4</m:t>
        </m:r>
      </m:oMath>
      <w:r w:rsidRPr="00346738">
        <w:rPr>
          <w:b/>
          <w:bCs/>
          <w:lang w:val="en-US"/>
        </w:rPr>
        <w:t xml:space="preserve"> for enhanced coverage for shorter DRX cycles.</w:t>
      </w:r>
    </w:p>
    <w:p w14:paraId="30EA6028" w14:textId="6E24B9BC" w:rsidR="00B459D2" w:rsidRDefault="00D83EB5" w:rsidP="00C85E54">
      <w:pPr>
        <w:rPr>
          <w:lang w:val="en-US"/>
        </w:rPr>
      </w:pPr>
      <w:r>
        <w:rPr>
          <w:lang w:val="en-US"/>
        </w:rPr>
        <w:t>For number of WUS subframes in clause</w:t>
      </w:r>
      <w:r w:rsidR="00B459D2">
        <w:rPr>
          <w:lang w:val="en-US"/>
        </w:rPr>
        <w:t xml:space="preserve"> </w:t>
      </w:r>
      <w:r w:rsidR="00975652">
        <w:rPr>
          <w:lang w:val="en-US"/>
        </w:rPr>
        <w:t xml:space="preserve">4.6.2.9, the same requirements for DRX cycles </w:t>
      </w:r>
      <w:r w:rsidR="00346738">
        <w:rPr>
          <w:lang w:val="en-US"/>
        </w:rPr>
        <w:t>smaller than, or equal to, 5.12 s can apply to shorter DRX cycles.</w:t>
      </w:r>
    </w:p>
    <w:p w14:paraId="6FDEB99B" w14:textId="0E8F7AA1" w:rsidR="00346738" w:rsidRDefault="00346738" w:rsidP="00C85E54">
      <w:pPr>
        <w:rPr>
          <w:b/>
          <w:bCs/>
          <w:lang w:val="en-US"/>
        </w:rPr>
      </w:pPr>
      <w:r w:rsidRPr="00346738">
        <w:rPr>
          <w:b/>
          <w:bCs/>
          <w:lang w:val="en-US"/>
        </w:rPr>
        <w:t>Proposal 2. Keep the same requirements for WUS for shorter DRX cycles as in DRX cycles ≤ 5.12s.</w:t>
      </w:r>
    </w:p>
    <w:p w14:paraId="31601EC6" w14:textId="67579B88" w:rsidR="00346738" w:rsidRDefault="008C4E4D" w:rsidP="00C85E54">
      <w:pPr>
        <w:rPr>
          <w:lang w:val="en-US"/>
        </w:rPr>
      </w:pPr>
      <w:r>
        <w:rPr>
          <w:lang w:val="en-US"/>
        </w:rPr>
        <w:t xml:space="preserve">For detection of intra-frequency neighbor cells, our view is that shorter DRX cycles should take smaller time to deliver the advantage </w:t>
      </w:r>
      <w:r w:rsidR="001B503C">
        <w:rPr>
          <w:lang w:val="en-US"/>
        </w:rPr>
        <w:t xml:space="preserve">over longer DRX cycles. </w:t>
      </w:r>
      <w:r w:rsidR="00F6198E">
        <w:rPr>
          <w:lang w:val="en-US"/>
        </w:rPr>
        <w:t xml:space="preserve">Our view is that the same number of samples as in </w:t>
      </w:r>
      <w:r w:rsidR="0011623B">
        <w:rPr>
          <w:lang w:val="en-US"/>
        </w:rPr>
        <w:t>1.28s DRX cycle can be applied to 320/640ms DRX cycles.</w:t>
      </w:r>
    </w:p>
    <w:p w14:paraId="26F6A9F1" w14:textId="7E31DEE3" w:rsidR="0011623B" w:rsidRPr="000B1AC5" w:rsidRDefault="0011623B" w:rsidP="00C85E54">
      <w:pPr>
        <w:rPr>
          <w:b/>
          <w:bCs/>
          <w:lang w:val="en-US"/>
        </w:rPr>
      </w:pPr>
      <w:r w:rsidRPr="000B1AC5">
        <w:rPr>
          <w:b/>
          <w:bCs/>
          <w:lang w:val="en-US"/>
        </w:rPr>
        <w:t xml:space="preserve">Proposal 3. For intra-frequency </w:t>
      </w:r>
      <w:r w:rsidR="00063F88">
        <w:rPr>
          <w:b/>
          <w:bCs/>
          <w:lang w:val="en-US"/>
        </w:rPr>
        <w:t xml:space="preserve">and inter-frequency </w:t>
      </w:r>
      <w:r w:rsidRPr="000B1AC5">
        <w:rPr>
          <w:b/>
          <w:bCs/>
          <w:lang w:val="en-US"/>
        </w:rPr>
        <w:t>neighbor cell measurement</w:t>
      </w:r>
      <w:r w:rsidR="005945B7" w:rsidRPr="000B1AC5">
        <w:rPr>
          <w:b/>
          <w:bCs/>
          <w:lang w:val="en-US"/>
        </w:rPr>
        <w:t xml:space="preserve"> when not configured with eDRX</w:t>
      </w:r>
      <w:r w:rsidR="0019508F" w:rsidRPr="000B1AC5">
        <w:rPr>
          <w:b/>
          <w:bCs/>
          <w:lang w:val="en-US"/>
        </w:rPr>
        <w:t>:</w:t>
      </w:r>
    </w:p>
    <w:p w14:paraId="5026306A" w14:textId="4CA15902" w:rsidR="0019508F" w:rsidRPr="000B1AC5" w:rsidRDefault="0019508F" w:rsidP="0019508F">
      <w:pPr>
        <w:pStyle w:val="ListParagraph"/>
        <w:numPr>
          <w:ilvl w:val="0"/>
          <w:numId w:val="41"/>
        </w:numPr>
        <w:rPr>
          <w:b/>
          <w:bCs/>
          <w:sz w:val="20"/>
          <w:szCs w:val="20"/>
        </w:rPr>
      </w:pPr>
      <w:r w:rsidRPr="000B1AC5">
        <w:rPr>
          <w:b/>
          <w:bCs/>
          <w:sz w:val="20"/>
          <w:szCs w:val="20"/>
        </w:rPr>
        <w:t xml:space="preserve">40 DRX cycles for </w:t>
      </w:r>
      <w:r w:rsidR="00D25554" w:rsidRPr="000B1AC5">
        <w:rPr>
          <w:b/>
          <w:bCs/>
          <w:sz w:val="20"/>
          <w:szCs w:val="20"/>
        </w:rPr>
        <w:t xml:space="preserve">320/640ms DRX to detect the cell, 1 DRX cycle to measure, and </w:t>
      </w:r>
      <w:r w:rsidR="005945B7" w:rsidRPr="000B1AC5">
        <w:rPr>
          <w:b/>
          <w:bCs/>
          <w:sz w:val="20"/>
          <w:szCs w:val="20"/>
        </w:rPr>
        <w:t>5 DRX cycles to evaluate in normal coverage</w:t>
      </w:r>
    </w:p>
    <w:p w14:paraId="64E0835B" w14:textId="38248273" w:rsidR="005945B7" w:rsidRPr="000B1AC5" w:rsidRDefault="00E1647C" w:rsidP="0019508F">
      <w:pPr>
        <w:pStyle w:val="ListParagraph"/>
        <w:numPr>
          <w:ilvl w:val="0"/>
          <w:numId w:val="41"/>
        </w:numPr>
        <w:rPr>
          <w:b/>
          <w:bCs/>
          <w:sz w:val="20"/>
          <w:szCs w:val="20"/>
        </w:rPr>
      </w:pPr>
      <w:r w:rsidRPr="000B1AC5">
        <w:rPr>
          <w:b/>
          <w:bCs/>
          <w:sz w:val="20"/>
          <w:szCs w:val="20"/>
        </w:rPr>
        <w:t xml:space="preserve">415 </w:t>
      </w:r>
      <w:r w:rsidR="00FA722E" w:rsidRPr="000B1AC5">
        <w:rPr>
          <w:b/>
          <w:bCs/>
          <w:sz w:val="20"/>
          <w:szCs w:val="20"/>
        </w:rPr>
        <w:t xml:space="preserve">DRX cycles for 320/640 DRX to detect the cell, 1 DRX cycle to measure, and 10 DRX cycles to evaluate in enhanced coverage when -15 ≤ Q2 </w:t>
      </w:r>
      <w:r w:rsidR="00FE3E82" w:rsidRPr="000B1AC5">
        <w:rPr>
          <w:b/>
          <w:bCs/>
          <w:sz w:val="20"/>
          <w:szCs w:val="20"/>
        </w:rPr>
        <w:t>&lt;</w:t>
      </w:r>
      <w:r w:rsidR="00FA722E" w:rsidRPr="000B1AC5">
        <w:rPr>
          <w:b/>
          <w:bCs/>
          <w:sz w:val="20"/>
          <w:szCs w:val="20"/>
        </w:rPr>
        <w:t xml:space="preserve"> -6</w:t>
      </w:r>
    </w:p>
    <w:p w14:paraId="49E1BE83" w14:textId="797BEC96" w:rsidR="00FA722E" w:rsidRPr="000B1AC5" w:rsidRDefault="00FE3E82" w:rsidP="0019508F">
      <w:pPr>
        <w:pStyle w:val="ListParagraph"/>
        <w:numPr>
          <w:ilvl w:val="0"/>
          <w:numId w:val="41"/>
        </w:numPr>
        <w:rPr>
          <w:b/>
          <w:bCs/>
          <w:sz w:val="20"/>
          <w:szCs w:val="20"/>
        </w:rPr>
      </w:pPr>
      <w:r w:rsidRPr="000B1AC5">
        <w:rPr>
          <w:b/>
          <w:bCs/>
          <w:sz w:val="20"/>
          <w:szCs w:val="20"/>
        </w:rPr>
        <w:lastRenderedPageBreak/>
        <w:t>45 DRX cycles for 320/640 DRX to detect the cell, 1 DRX cycle to measure, and 10 DRX cycles to evaluate in enhanced coverage when Q2 ≥ -6</w:t>
      </w:r>
      <w:r w:rsidR="00E46C6E" w:rsidRPr="000B1AC5">
        <w:rPr>
          <w:b/>
          <w:bCs/>
          <w:sz w:val="20"/>
          <w:szCs w:val="20"/>
        </w:rPr>
        <w:t>.</w:t>
      </w:r>
    </w:p>
    <w:p w14:paraId="422E480C" w14:textId="77777777" w:rsidR="00944717" w:rsidRDefault="00D848FB" w:rsidP="00E46C6E">
      <w:r>
        <w:t xml:space="preserve">For eDRX cycles, the same existing requirements should apply for Tdetect with </w:t>
      </w:r>
      <w:r w:rsidR="00944717">
        <w:t xml:space="preserve">1 DRX cycle for measurement and 2 DRX cycles for evaluation. </w:t>
      </w:r>
    </w:p>
    <w:p w14:paraId="6BC7DB58" w14:textId="1CD9F0FE" w:rsidR="00944717" w:rsidRPr="000B1AC5" w:rsidRDefault="00944717" w:rsidP="00944717">
      <w:pPr>
        <w:rPr>
          <w:b/>
          <w:bCs/>
        </w:rPr>
      </w:pPr>
      <w:r w:rsidRPr="000B1AC5">
        <w:rPr>
          <w:b/>
          <w:bCs/>
        </w:rPr>
        <w:t>Proposal 4.  For eDRX cycles, the same existing requirements should apply for Tdetect with 1 DRX cycle for measurement and 2 DRX cycles for evaluation</w:t>
      </w:r>
      <w:r w:rsidR="0046413B">
        <w:rPr>
          <w:b/>
          <w:bCs/>
        </w:rPr>
        <w:t xml:space="preserve"> for both intra-frequency and inter-frequency neighbour cells</w:t>
      </w:r>
      <w:r w:rsidRPr="000B1AC5">
        <w:rPr>
          <w:b/>
          <w:bCs/>
        </w:rPr>
        <w:t xml:space="preserve">. </w:t>
      </w:r>
    </w:p>
    <w:p w14:paraId="10D27B35" w14:textId="33DE64EB" w:rsidR="00E13347" w:rsidRDefault="008E6021" w:rsidP="00E46C6E">
      <w:r>
        <w:t xml:space="preserve">For the scenario when UE is in serving cell relaxation mode, our view is that the same methodology should apply and the number of DRX cycles that UE can skip should be scaled according to the DRX cycle length. </w:t>
      </w:r>
      <w:r w:rsidR="00E13347">
        <w:t xml:space="preserve">However, the value of </w:t>
      </w:r>
      <w:r w:rsidR="00E13347" w:rsidRPr="00E13347">
        <w:rPr>
          <w:i/>
          <w:iCs/>
        </w:rPr>
        <w:t>numDRX-CyclesRelaxed</w:t>
      </w:r>
      <w:r w:rsidR="00E13347">
        <w:t xml:space="preserve"> is capped to 8 in current TS 36.331 specification</w:t>
      </w:r>
      <w:r w:rsidR="00C54E86">
        <w:t>. Our understanding is that shorter DRX cycles of 320/640ms are used for mobile UEs which are typically not in relaxed serving cell monitoring mode</w:t>
      </w:r>
      <w:r w:rsidR="00AE5C2F">
        <w:t>.</w:t>
      </w:r>
      <w:r w:rsidR="00E13347">
        <w:t xml:space="preserve"> </w:t>
      </w:r>
    </w:p>
    <w:p w14:paraId="79403499" w14:textId="77777777" w:rsidR="00E13347" w:rsidRPr="00E13347" w:rsidRDefault="00E13347" w:rsidP="00E13347">
      <w:pPr>
        <w:autoSpaceDE w:val="0"/>
        <w:autoSpaceDN w:val="0"/>
        <w:adjustRightInd w:val="0"/>
        <w:spacing w:after="0"/>
        <w:rPr>
          <w:rFonts w:ascii="Courier New" w:hAnsi="Courier New" w:cs="Courier New"/>
          <w:color w:val="000000"/>
          <w:sz w:val="16"/>
          <w:szCs w:val="16"/>
          <w:lang w:val="en-US" w:eastAsia="ko-KR"/>
        </w:rPr>
      </w:pPr>
      <w:r w:rsidRPr="00E13347">
        <w:rPr>
          <w:rFonts w:ascii="Courier New" w:hAnsi="Courier New" w:cs="Courier New"/>
          <w:color w:val="000000"/>
          <w:sz w:val="16"/>
          <w:szCs w:val="16"/>
          <w:lang w:val="en-US" w:eastAsia="ko-KR"/>
        </w:rPr>
        <w:t>WUS-Config-NB-r</w:t>
      </w:r>
      <w:proofErr w:type="gramStart"/>
      <w:r w:rsidRPr="00E13347">
        <w:rPr>
          <w:rFonts w:ascii="Courier New" w:hAnsi="Courier New" w:cs="Courier New"/>
          <w:color w:val="000000"/>
          <w:sz w:val="16"/>
          <w:szCs w:val="16"/>
          <w:lang w:val="en-US" w:eastAsia="ko-KR"/>
        </w:rPr>
        <w:t>15 ::=</w:t>
      </w:r>
      <w:proofErr w:type="gramEnd"/>
      <w:r w:rsidRPr="00E13347">
        <w:rPr>
          <w:rFonts w:ascii="Courier New" w:hAnsi="Courier New" w:cs="Courier New"/>
          <w:color w:val="000000"/>
          <w:sz w:val="16"/>
          <w:szCs w:val="16"/>
          <w:lang w:val="en-US" w:eastAsia="ko-KR"/>
        </w:rPr>
        <w:t xml:space="preserve"> SEQUENCE { </w:t>
      </w:r>
    </w:p>
    <w:p w14:paraId="2F2EB7B6" w14:textId="77777777" w:rsidR="00E13347" w:rsidRPr="00E13347" w:rsidRDefault="00E13347" w:rsidP="00E13347">
      <w:pPr>
        <w:autoSpaceDE w:val="0"/>
        <w:autoSpaceDN w:val="0"/>
        <w:adjustRightInd w:val="0"/>
        <w:spacing w:after="0"/>
        <w:ind w:left="284"/>
        <w:rPr>
          <w:rFonts w:ascii="Courier New" w:hAnsi="Courier New" w:cs="Courier New"/>
          <w:color w:val="000000"/>
          <w:sz w:val="16"/>
          <w:szCs w:val="16"/>
          <w:lang w:val="en-US" w:eastAsia="ko-KR"/>
        </w:rPr>
      </w:pPr>
      <w:r w:rsidRPr="00E13347">
        <w:rPr>
          <w:rFonts w:ascii="Courier New" w:hAnsi="Courier New" w:cs="Courier New"/>
          <w:color w:val="000000"/>
          <w:sz w:val="16"/>
          <w:szCs w:val="16"/>
          <w:lang w:val="en-US" w:eastAsia="ko-KR"/>
        </w:rPr>
        <w:t xml:space="preserve">maxDurationFactor-r15 WUS-MaxDurationFactor-NB-r15, </w:t>
      </w:r>
    </w:p>
    <w:p w14:paraId="2E4A8AC6" w14:textId="77777777" w:rsidR="00E13347" w:rsidRPr="00E13347" w:rsidRDefault="00E13347" w:rsidP="00E13347">
      <w:pPr>
        <w:autoSpaceDE w:val="0"/>
        <w:autoSpaceDN w:val="0"/>
        <w:adjustRightInd w:val="0"/>
        <w:spacing w:after="0"/>
        <w:ind w:left="284"/>
        <w:rPr>
          <w:rFonts w:ascii="Courier New" w:hAnsi="Courier New" w:cs="Courier New"/>
          <w:color w:val="000000"/>
          <w:sz w:val="16"/>
          <w:szCs w:val="16"/>
          <w:lang w:val="en-US" w:eastAsia="ko-KR"/>
        </w:rPr>
      </w:pPr>
      <w:r w:rsidRPr="00E13347">
        <w:rPr>
          <w:rFonts w:ascii="Courier New" w:hAnsi="Courier New" w:cs="Courier New"/>
          <w:color w:val="000000"/>
          <w:sz w:val="16"/>
          <w:szCs w:val="16"/>
          <w:lang w:val="en-US" w:eastAsia="ko-KR"/>
        </w:rPr>
        <w:t xml:space="preserve">numPOs-r15 ENUMERATED {n1, n2, n4} DEFAULT n1, </w:t>
      </w:r>
    </w:p>
    <w:p w14:paraId="7CBA969B" w14:textId="77777777" w:rsidR="00E13347" w:rsidRPr="00E13347" w:rsidRDefault="00E13347" w:rsidP="00E13347">
      <w:pPr>
        <w:autoSpaceDE w:val="0"/>
        <w:autoSpaceDN w:val="0"/>
        <w:adjustRightInd w:val="0"/>
        <w:spacing w:after="0"/>
        <w:ind w:left="284"/>
        <w:rPr>
          <w:rFonts w:ascii="Courier New" w:hAnsi="Courier New" w:cs="Courier New"/>
          <w:color w:val="000000"/>
          <w:sz w:val="16"/>
          <w:szCs w:val="16"/>
          <w:lang w:val="en-US" w:eastAsia="ko-KR"/>
        </w:rPr>
      </w:pPr>
      <w:r w:rsidRPr="00E13347">
        <w:rPr>
          <w:rFonts w:ascii="Courier New" w:hAnsi="Courier New" w:cs="Courier New"/>
          <w:color w:val="000000"/>
          <w:sz w:val="16"/>
          <w:szCs w:val="16"/>
          <w:highlight w:val="yellow"/>
          <w:lang w:val="en-US" w:eastAsia="ko-KR"/>
        </w:rPr>
        <w:t>numDRX-CyclesRelaxed-r15 ENUMERATED {n1, n2, n4, n8},</w:t>
      </w:r>
      <w:r w:rsidRPr="00E13347">
        <w:rPr>
          <w:rFonts w:ascii="Courier New" w:hAnsi="Courier New" w:cs="Courier New"/>
          <w:color w:val="000000"/>
          <w:sz w:val="16"/>
          <w:szCs w:val="16"/>
          <w:lang w:val="en-US" w:eastAsia="ko-KR"/>
        </w:rPr>
        <w:t xml:space="preserve"> </w:t>
      </w:r>
    </w:p>
    <w:p w14:paraId="1D30BFDB" w14:textId="77777777" w:rsidR="00E13347" w:rsidRPr="00E13347" w:rsidRDefault="00E13347" w:rsidP="00E13347">
      <w:pPr>
        <w:autoSpaceDE w:val="0"/>
        <w:autoSpaceDN w:val="0"/>
        <w:adjustRightInd w:val="0"/>
        <w:spacing w:after="0"/>
        <w:ind w:left="284"/>
        <w:rPr>
          <w:rFonts w:ascii="Courier New" w:hAnsi="Courier New" w:cs="Courier New"/>
          <w:color w:val="000000"/>
          <w:sz w:val="16"/>
          <w:szCs w:val="16"/>
          <w:lang w:val="en-US" w:eastAsia="ko-KR"/>
        </w:rPr>
      </w:pPr>
      <w:r w:rsidRPr="00E13347">
        <w:rPr>
          <w:rFonts w:ascii="Courier New" w:hAnsi="Courier New" w:cs="Courier New"/>
          <w:color w:val="000000"/>
          <w:sz w:val="16"/>
          <w:szCs w:val="16"/>
          <w:lang w:val="en-US" w:eastAsia="ko-KR"/>
        </w:rPr>
        <w:t xml:space="preserve">timeOffsetDRX-r15 ENUMERATED {ms40, ms80, ms160, ms240}, </w:t>
      </w:r>
    </w:p>
    <w:p w14:paraId="723CFEA9" w14:textId="77777777" w:rsidR="00E13347" w:rsidRPr="00E13347" w:rsidRDefault="00E13347" w:rsidP="00E13347">
      <w:pPr>
        <w:autoSpaceDE w:val="0"/>
        <w:autoSpaceDN w:val="0"/>
        <w:adjustRightInd w:val="0"/>
        <w:spacing w:after="0"/>
        <w:ind w:left="284"/>
        <w:rPr>
          <w:rFonts w:ascii="Courier New" w:hAnsi="Courier New" w:cs="Courier New"/>
          <w:color w:val="000000"/>
          <w:sz w:val="16"/>
          <w:szCs w:val="16"/>
          <w:lang w:val="en-US" w:eastAsia="ko-KR"/>
        </w:rPr>
      </w:pPr>
      <w:r w:rsidRPr="00E13347">
        <w:rPr>
          <w:rFonts w:ascii="Courier New" w:hAnsi="Courier New" w:cs="Courier New"/>
          <w:color w:val="000000"/>
          <w:sz w:val="16"/>
          <w:szCs w:val="16"/>
          <w:lang w:val="en-US" w:eastAsia="ko-KR"/>
        </w:rPr>
        <w:t xml:space="preserve">timeOffset-eDRX-Short-r15 ENUMERATED {ms40, ms80, ms160, ms240}, </w:t>
      </w:r>
    </w:p>
    <w:p w14:paraId="29028BE3" w14:textId="77777777" w:rsidR="00E13347" w:rsidRPr="00E13347" w:rsidRDefault="00E13347" w:rsidP="00E13347">
      <w:pPr>
        <w:autoSpaceDE w:val="0"/>
        <w:autoSpaceDN w:val="0"/>
        <w:adjustRightInd w:val="0"/>
        <w:spacing w:after="0"/>
        <w:ind w:left="284"/>
        <w:rPr>
          <w:rFonts w:ascii="Courier New" w:hAnsi="Courier New" w:cs="Courier New"/>
          <w:color w:val="000000"/>
          <w:sz w:val="16"/>
          <w:szCs w:val="16"/>
          <w:lang w:val="en-US" w:eastAsia="ko-KR"/>
        </w:rPr>
      </w:pPr>
      <w:r w:rsidRPr="00E13347">
        <w:rPr>
          <w:rFonts w:ascii="Courier New" w:hAnsi="Courier New" w:cs="Courier New"/>
          <w:color w:val="000000"/>
          <w:sz w:val="16"/>
          <w:szCs w:val="16"/>
          <w:lang w:val="en-US" w:eastAsia="ko-KR"/>
        </w:rPr>
        <w:t xml:space="preserve">timeOffset-eDRX-Long-r15 ENUMERATED {ms1000, ms2000} OPTIONAL, -- Need OP </w:t>
      </w:r>
    </w:p>
    <w:p w14:paraId="61BD4BEB" w14:textId="77777777" w:rsidR="00E13347" w:rsidRPr="00E13347" w:rsidRDefault="00E13347" w:rsidP="00E13347">
      <w:pPr>
        <w:autoSpaceDE w:val="0"/>
        <w:autoSpaceDN w:val="0"/>
        <w:adjustRightInd w:val="0"/>
        <w:spacing w:after="0"/>
        <w:rPr>
          <w:rFonts w:ascii="Courier New" w:hAnsi="Courier New" w:cs="Courier New"/>
          <w:color w:val="000000"/>
          <w:sz w:val="16"/>
          <w:szCs w:val="16"/>
          <w:lang w:val="en-US" w:eastAsia="ko-KR"/>
        </w:rPr>
      </w:pPr>
      <w:r w:rsidRPr="00E13347">
        <w:rPr>
          <w:rFonts w:ascii="Courier New" w:hAnsi="Courier New" w:cs="Courier New"/>
          <w:color w:val="000000"/>
          <w:sz w:val="16"/>
          <w:szCs w:val="16"/>
          <w:lang w:val="en-US" w:eastAsia="ko-KR"/>
        </w:rPr>
        <w:t xml:space="preserve">... </w:t>
      </w:r>
    </w:p>
    <w:p w14:paraId="63FD5CFB" w14:textId="523B22AF" w:rsidR="00E13347" w:rsidRDefault="00E13347" w:rsidP="00E13347">
      <w:pPr>
        <w:rPr>
          <w:rFonts w:ascii="Courier New" w:hAnsi="Courier New" w:cs="Courier New"/>
          <w:color w:val="000000"/>
          <w:sz w:val="16"/>
          <w:szCs w:val="16"/>
          <w:lang w:val="en-US" w:eastAsia="ko-KR"/>
        </w:rPr>
      </w:pPr>
      <w:r w:rsidRPr="00E13347">
        <w:rPr>
          <w:rFonts w:ascii="Courier New" w:hAnsi="Courier New" w:cs="Courier New"/>
          <w:color w:val="000000"/>
          <w:sz w:val="16"/>
          <w:szCs w:val="16"/>
          <w:lang w:val="en-US" w:eastAsia="ko-KR"/>
        </w:rPr>
        <w:t>}</w:t>
      </w:r>
    </w:p>
    <w:p w14:paraId="41AE8457" w14:textId="6A22FB6C" w:rsidR="00E13347" w:rsidRDefault="008A76FA" w:rsidP="00E13347">
      <w:r>
        <w:t>He</w:t>
      </w:r>
      <w:r w:rsidR="00C96130">
        <w:t>nce, our proposal is to re-use the same requirements as in DRX cycle of 1.28s for both cases when eDRX is configured and not configured.</w:t>
      </w:r>
    </w:p>
    <w:p w14:paraId="5B144808" w14:textId="1892727D" w:rsidR="00C96130" w:rsidRPr="00C118E9" w:rsidRDefault="00C96130" w:rsidP="00E13347">
      <w:pPr>
        <w:rPr>
          <w:b/>
          <w:bCs/>
        </w:rPr>
      </w:pPr>
      <w:r w:rsidRPr="00C118E9">
        <w:rPr>
          <w:b/>
          <w:bCs/>
        </w:rPr>
        <w:t xml:space="preserve">Proposal 5. Use the same requirements as in DRX cycle of 1.28s for </w:t>
      </w:r>
      <w:r w:rsidR="00C118E9" w:rsidRPr="00C118E9">
        <w:rPr>
          <w:b/>
          <w:bCs/>
        </w:rPr>
        <w:t>shorter DRX cycles of 320/640ms when eDRX is and is not configured.</w:t>
      </w:r>
    </w:p>
    <w:p w14:paraId="05109B46" w14:textId="01022CC4" w:rsidR="00F2107A" w:rsidRDefault="0032488E" w:rsidP="005D6C7D">
      <w:pPr>
        <w:pStyle w:val="Heading1"/>
        <w:rPr>
          <w:lang w:val="en-US"/>
        </w:rPr>
      </w:pPr>
      <w:r>
        <w:rPr>
          <w:lang w:val="en-US"/>
        </w:rPr>
        <w:t>Con</w:t>
      </w:r>
      <w:r w:rsidR="00F2107A">
        <w:rPr>
          <w:lang w:val="en-US"/>
        </w:rPr>
        <w:t>clusions</w:t>
      </w:r>
    </w:p>
    <w:p w14:paraId="20AC970F" w14:textId="77777777" w:rsidR="00C118E9" w:rsidRPr="00346738" w:rsidRDefault="00C118E9" w:rsidP="00C118E9">
      <w:pPr>
        <w:rPr>
          <w:b/>
          <w:bCs/>
          <w:lang w:val="en-US"/>
        </w:rPr>
      </w:pPr>
      <w:r w:rsidRPr="00346738">
        <w:rPr>
          <w:b/>
          <w:bCs/>
          <w:lang w:val="en-US"/>
        </w:rPr>
        <w:t xml:space="preserve">Proposal 1. Use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serv</m:t>
            </m:r>
          </m:sub>
        </m:sSub>
        <m:r>
          <m:rPr>
            <m:sty m:val="bi"/>
          </m:rPr>
          <w:rPr>
            <w:rFonts w:ascii="Cambria Math" w:hAnsi="Cambria Math"/>
            <w:lang w:val="en-US"/>
          </w:rPr>
          <m:t>=2</m:t>
        </m:r>
      </m:oMath>
      <w:r w:rsidRPr="00346738">
        <w:rPr>
          <w:b/>
          <w:bCs/>
          <w:lang w:val="en-US"/>
        </w:rPr>
        <w:t xml:space="preserve"> for normal coverage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serv</m:t>
            </m:r>
          </m:sub>
        </m:sSub>
        <m:r>
          <m:rPr>
            <m:sty m:val="bi"/>
          </m:rPr>
          <w:rPr>
            <w:rFonts w:ascii="Cambria Math" w:hAnsi="Cambria Math"/>
            <w:lang w:val="en-US"/>
          </w:rPr>
          <m:t>=4</m:t>
        </m:r>
      </m:oMath>
      <w:r w:rsidRPr="00346738">
        <w:rPr>
          <w:b/>
          <w:bCs/>
          <w:lang w:val="en-US"/>
        </w:rPr>
        <w:t xml:space="preserve"> for enhanced coverage for shorter DRX cycles.</w:t>
      </w:r>
    </w:p>
    <w:p w14:paraId="6553BA13" w14:textId="77777777" w:rsidR="00C118E9" w:rsidRDefault="00C118E9" w:rsidP="00C118E9">
      <w:pPr>
        <w:rPr>
          <w:b/>
          <w:bCs/>
          <w:lang w:val="en-US"/>
        </w:rPr>
      </w:pPr>
      <w:r w:rsidRPr="00346738">
        <w:rPr>
          <w:b/>
          <w:bCs/>
          <w:lang w:val="en-US"/>
        </w:rPr>
        <w:t>Proposal 2. Keep the same requirements for WUS for shorter DRX cycles as in DRX cycles ≤ 5.12s.</w:t>
      </w:r>
    </w:p>
    <w:p w14:paraId="6DF289AB" w14:textId="7FAC1F2C" w:rsidR="00C118E9" w:rsidRPr="000B1AC5" w:rsidRDefault="00C118E9" w:rsidP="00C118E9">
      <w:pPr>
        <w:rPr>
          <w:b/>
          <w:bCs/>
          <w:lang w:val="en-US"/>
        </w:rPr>
      </w:pPr>
      <w:r w:rsidRPr="000B1AC5">
        <w:rPr>
          <w:b/>
          <w:bCs/>
          <w:lang w:val="en-US"/>
        </w:rPr>
        <w:t xml:space="preserve">Proposal 3. For intra-frequency </w:t>
      </w:r>
      <w:r w:rsidR="00063F88">
        <w:rPr>
          <w:b/>
          <w:bCs/>
          <w:lang w:val="en-US"/>
        </w:rPr>
        <w:t xml:space="preserve">and inter-frequency </w:t>
      </w:r>
      <w:r w:rsidRPr="000B1AC5">
        <w:rPr>
          <w:b/>
          <w:bCs/>
          <w:lang w:val="en-US"/>
        </w:rPr>
        <w:t>neighbor cell measurement when not configured with eDRX:</w:t>
      </w:r>
    </w:p>
    <w:p w14:paraId="0C98633B" w14:textId="77777777" w:rsidR="00C118E9" w:rsidRPr="000B1AC5" w:rsidRDefault="00C118E9" w:rsidP="00C118E9">
      <w:pPr>
        <w:pStyle w:val="ListParagraph"/>
        <w:numPr>
          <w:ilvl w:val="0"/>
          <w:numId w:val="41"/>
        </w:numPr>
        <w:rPr>
          <w:b/>
          <w:bCs/>
          <w:sz w:val="20"/>
          <w:szCs w:val="20"/>
        </w:rPr>
      </w:pPr>
      <w:r w:rsidRPr="000B1AC5">
        <w:rPr>
          <w:b/>
          <w:bCs/>
          <w:sz w:val="20"/>
          <w:szCs w:val="20"/>
        </w:rPr>
        <w:t>40 DRX cycles for 320/640ms DRX to detect the cell, 1 DRX cycle to measure, and 5 DRX cycles to evaluate in normal coverage</w:t>
      </w:r>
    </w:p>
    <w:p w14:paraId="4D237685" w14:textId="77777777" w:rsidR="00C118E9" w:rsidRPr="000B1AC5" w:rsidRDefault="00C118E9" w:rsidP="00C118E9">
      <w:pPr>
        <w:pStyle w:val="ListParagraph"/>
        <w:numPr>
          <w:ilvl w:val="0"/>
          <w:numId w:val="41"/>
        </w:numPr>
        <w:rPr>
          <w:b/>
          <w:bCs/>
          <w:sz w:val="20"/>
          <w:szCs w:val="20"/>
        </w:rPr>
      </w:pPr>
      <w:r w:rsidRPr="000B1AC5">
        <w:rPr>
          <w:b/>
          <w:bCs/>
          <w:sz w:val="20"/>
          <w:szCs w:val="20"/>
        </w:rPr>
        <w:t>415 DRX cycles for 320/640 DRX to detect the cell, 1 DRX cycle to measure, and 10 DRX cycles to evaluate in enhanced coverage when -15 ≤ Q2 &lt; -6</w:t>
      </w:r>
    </w:p>
    <w:p w14:paraId="6486ACF9" w14:textId="77777777" w:rsidR="00C118E9" w:rsidRPr="000B1AC5" w:rsidRDefault="00C118E9" w:rsidP="00C118E9">
      <w:pPr>
        <w:pStyle w:val="ListParagraph"/>
        <w:numPr>
          <w:ilvl w:val="0"/>
          <w:numId w:val="41"/>
        </w:numPr>
        <w:rPr>
          <w:b/>
          <w:bCs/>
          <w:sz w:val="20"/>
          <w:szCs w:val="20"/>
        </w:rPr>
      </w:pPr>
      <w:r w:rsidRPr="000B1AC5">
        <w:rPr>
          <w:b/>
          <w:bCs/>
          <w:sz w:val="20"/>
          <w:szCs w:val="20"/>
        </w:rPr>
        <w:t>45 DRX cycles for 320/640 DRX to detect the cell, 1 DRX cycle to measure, and 10 DRX cycles to evaluate in enhanced coverage when Q2 ≥ -6.</w:t>
      </w:r>
    </w:p>
    <w:p w14:paraId="6F017E7C" w14:textId="77777777" w:rsidR="00C118E9" w:rsidRDefault="00C118E9" w:rsidP="00C118E9"/>
    <w:p w14:paraId="1CC8AF4E" w14:textId="77777777" w:rsidR="0046413B" w:rsidRPr="000B1AC5" w:rsidRDefault="0046413B" w:rsidP="0046413B">
      <w:pPr>
        <w:rPr>
          <w:b/>
          <w:bCs/>
        </w:rPr>
      </w:pPr>
      <w:r w:rsidRPr="000B1AC5">
        <w:rPr>
          <w:b/>
          <w:bCs/>
        </w:rPr>
        <w:t>Proposal 4.  For eDRX cycles, the same existing requirements should apply for Tdetect with 1 DRX cycle for measurement and 2 DRX cycles for evaluation</w:t>
      </w:r>
      <w:r>
        <w:rPr>
          <w:b/>
          <w:bCs/>
        </w:rPr>
        <w:t xml:space="preserve"> for both intra-frequency and inter-frequency neighbour cells</w:t>
      </w:r>
      <w:r w:rsidRPr="000B1AC5">
        <w:rPr>
          <w:b/>
          <w:bCs/>
        </w:rPr>
        <w:t xml:space="preserve">. </w:t>
      </w:r>
    </w:p>
    <w:p w14:paraId="4B7C0144" w14:textId="09AD2597" w:rsidR="00804DAC" w:rsidRPr="00C118E9" w:rsidRDefault="00C118E9" w:rsidP="00804DAC">
      <w:pPr>
        <w:rPr>
          <w:b/>
          <w:bCs/>
        </w:rPr>
      </w:pPr>
      <w:r w:rsidRPr="00C118E9">
        <w:rPr>
          <w:b/>
          <w:bCs/>
        </w:rPr>
        <w:t>Proposal 5. Use the same requirements as in DRX cycle of 1.28s for shorter DRX cycles of 320/640ms when eDRX is and is not configured.</w:t>
      </w:r>
    </w:p>
    <w:p w14:paraId="0C633F9D" w14:textId="2FAFCE22" w:rsidR="00797CE5" w:rsidRDefault="00797CE5" w:rsidP="006050F7">
      <w:pPr>
        <w:pStyle w:val="Heading1"/>
        <w:numPr>
          <w:ilvl w:val="0"/>
          <w:numId w:val="0"/>
        </w:numPr>
        <w:rPr>
          <w:lang w:val="en-US"/>
        </w:rPr>
      </w:pPr>
      <w:r>
        <w:rPr>
          <w:lang w:val="en-US"/>
        </w:rPr>
        <w:t>References</w:t>
      </w:r>
    </w:p>
    <w:p w14:paraId="0683BDEE" w14:textId="23F9F458" w:rsidR="0045046B" w:rsidRDefault="0045046B" w:rsidP="0045046B">
      <w:pPr>
        <w:rPr>
          <w:lang w:val="en-US"/>
        </w:rPr>
      </w:pPr>
      <w:r>
        <w:rPr>
          <w:lang w:val="en-US"/>
        </w:rPr>
        <w:t>[1]</w:t>
      </w:r>
      <w:r w:rsidR="0065354F">
        <w:rPr>
          <w:lang w:val="en-US"/>
        </w:rPr>
        <w:t xml:space="preserve"> R</w:t>
      </w:r>
      <w:r w:rsidR="0029623F">
        <w:rPr>
          <w:lang w:val="en-US"/>
        </w:rPr>
        <w:t>2-2004050</w:t>
      </w:r>
    </w:p>
    <w:p w14:paraId="471FA9C3" w14:textId="5E651EC1" w:rsidR="0029623F" w:rsidRPr="0045046B" w:rsidRDefault="0029623F" w:rsidP="0045046B">
      <w:pPr>
        <w:rPr>
          <w:lang w:val="en-US"/>
        </w:rPr>
      </w:pPr>
      <w:r>
        <w:rPr>
          <w:lang w:val="en-US"/>
        </w:rPr>
        <w:t>[2] R4-2005289</w:t>
      </w: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2DD1A" w14:textId="77777777" w:rsidR="005F7D87" w:rsidRDefault="005F7D87">
      <w:r>
        <w:separator/>
      </w:r>
    </w:p>
  </w:endnote>
  <w:endnote w:type="continuationSeparator" w:id="0">
    <w:p w14:paraId="039D9DB9" w14:textId="77777777" w:rsidR="005F7D87" w:rsidRDefault="005F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2989D" w14:textId="77777777" w:rsidR="00AB6208" w:rsidRDefault="00AB62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4202B" w14:textId="77777777" w:rsidR="005F7D87" w:rsidRDefault="005F7D87">
      <w:r>
        <w:separator/>
      </w:r>
    </w:p>
  </w:footnote>
  <w:footnote w:type="continuationSeparator" w:id="0">
    <w:p w14:paraId="67AB9942" w14:textId="77777777" w:rsidR="005F7D87" w:rsidRDefault="005F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F175B" w14:textId="77777777" w:rsidR="00AB6208" w:rsidRDefault="00AB6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80D0A" w14:textId="77777777" w:rsidR="00AB6208" w:rsidRDefault="00AB62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5C0F0" w14:textId="77777777" w:rsidR="00AB6208" w:rsidRDefault="00AB6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7444806"/>
    <w:multiLevelType w:val="hybridMultilevel"/>
    <w:tmpl w:val="806ACA9E"/>
    <w:lvl w:ilvl="0" w:tplc="C6A2F030">
      <w:start w:val="1"/>
      <w:numFmt w:val="bullet"/>
      <w:lvlText w:val="•"/>
      <w:lvlJc w:val="left"/>
      <w:pPr>
        <w:tabs>
          <w:tab w:val="num" w:pos="720"/>
        </w:tabs>
        <w:ind w:left="720" w:hanging="360"/>
      </w:pPr>
      <w:rPr>
        <w:rFonts w:ascii="Arial" w:hAnsi="Arial" w:hint="default"/>
      </w:rPr>
    </w:lvl>
    <w:lvl w:ilvl="1" w:tplc="287474EA">
      <w:numFmt w:val="bullet"/>
      <w:lvlText w:val="–"/>
      <w:lvlJc w:val="left"/>
      <w:pPr>
        <w:tabs>
          <w:tab w:val="num" w:pos="1440"/>
        </w:tabs>
        <w:ind w:left="1440" w:hanging="360"/>
      </w:pPr>
      <w:rPr>
        <w:rFonts w:ascii="Arial" w:hAnsi="Arial" w:hint="default"/>
      </w:rPr>
    </w:lvl>
    <w:lvl w:ilvl="2" w:tplc="C8CAA374" w:tentative="1">
      <w:start w:val="1"/>
      <w:numFmt w:val="bullet"/>
      <w:lvlText w:val="•"/>
      <w:lvlJc w:val="left"/>
      <w:pPr>
        <w:tabs>
          <w:tab w:val="num" w:pos="2160"/>
        </w:tabs>
        <w:ind w:left="2160" w:hanging="360"/>
      </w:pPr>
      <w:rPr>
        <w:rFonts w:ascii="Arial" w:hAnsi="Arial" w:hint="default"/>
      </w:rPr>
    </w:lvl>
    <w:lvl w:ilvl="3" w:tplc="3E6C162E" w:tentative="1">
      <w:start w:val="1"/>
      <w:numFmt w:val="bullet"/>
      <w:lvlText w:val="•"/>
      <w:lvlJc w:val="left"/>
      <w:pPr>
        <w:tabs>
          <w:tab w:val="num" w:pos="2880"/>
        </w:tabs>
        <w:ind w:left="2880" w:hanging="360"/>
      </w:pPr>
      <w:rPr>
        <w:rFonts w:ascii="Arial" w:hAnsi="Arial" w:hint="default"/>
      </w:rPr>
    </w:lvl>
    <w:lvl w:ilvl="4" w:tplc="5CAEED24" w:tentative="1">
      <w:start w:val="1"/>
      <w:numFmt w:val="bullet"/>
      <w:lvlText w:val="•"/>
      <w:lvlJc w:val="left"/>
      <w:pPr>
        <w:tabs>
          <w:tab w:val="num" w:pos="3600"/>
        </w:tabs>
        <w:ind w:left="3600" w:hanging="360"/>
      </w:pPr>
      <w:rPr>
        <w:rFonts w:ascii="Arial" w:hAnsi="Arial" w:hint="default"/>
      </w:rPr>
    </w:lvl>
    <w:lvl w:ilvl="5" w:tplc="14E4B62A" w:tentative="1">
      <w:start w:val="1"/>
      <w:numFmt w:val="bullet"/>
      <w:lvlText w:val="•"/>
      <w:lvlJc w:val="left"/>
      <w:pPr>
        <w:tabs>
          <w:tab w:val="num" w:pos="4320"/>
        </w:tabs>
        <w:ind w:left="4320" w:hanging="360"/>
      </w:pPr>
      <w:rPr>
        <w:rFonts w:ascii="Arial" w:hAnsi="Arial" w:hint="default"/>
      </w:rPr>
    </w:lvl>
    <w:lvl w:ilvl="6" w:tplc="12BE83A8" w:tentative="1">
      <w:start w:val="1"/>
      <w:numFmt w:val="bullet"/>
      <w:lvlText w:val="•"/>
      <w:lvlJc w:val="left"/>
      <w:pPr>
        <w:tabs>
          <w:tab w:val="num" w:pos="5040"/>
        </w:tabs>
        <w:ind w:left="5040" w:hanging="360"/>
      </w:pPr>
      <w:rPr>
        <w:rFonts w:ascii="Arial" w:hAnsi="Arial" w:hint="default"/>
      </w:rPr>
    </w:lvl>
    <w:lvl w:ilvl="7" w:tplc="3A4CCC3E" w:tentative="1">
      <w:start w:val="1"/>
      <w:numFmt w:val="bullet"/>
      <w:lvlText w:val="•"/>
      <w:lvlJc w:val="left"/>
      <w:pPr>
        <w:tabs>
          <w:tab w:val="num" w:pos="5760"/>
        </w:tabs>
        <w:ind w:left="5760" w:hanging="360"/>
      </w:pPr>
      <w:rPr>
        <w:rFonts w:ascii="Arial" w:hAnsi="Arial" w:hint="default"/>
      </w:rPr>
    </w:lvl>
    <w:lvl w:ilvl="8" w:tplc="F55692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1B2956"/>
    <w:multiLevelType w:val="hybridMultilevel"/>
    <w:tmpl w:val="FC3E6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35"/>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1"/>
  </w:num>
  <w:num w:numId="9">
    <w:abstractNumId w:val="23"/>
  </w:num>
  <w:num w:numId="10">
    <w:abstractNumId w:val="4"/>
  </w:num>
  <w:num w:numId="11">
    <w:abstractNumId w:val="20"/>
  </w:num>
  <w:num w:numId="12">
    <w:abstractNumId w:val="8"/>
  </w:num>
  <w:num w:numId="13">
    <w:abstractNumId w:val="19"/>
  </w:num>
  <w:num w:numId="14">
    <w:abstractNumId w:val="2"/>
  </w:num>
  <w:num w:numId="15">
    <w:abstractNumId w:val="39"/>
  </w:num>
  <w:num w:numId="16">
    <w:abstractNumId w:val="27"/>
  </w:num>
  <w:num w:numId="17">
    <w:abstractNumId w:val="12"/>
  </w:num>
  <w:num w:numId="18">
    <w:abstractNumId w:val="38"/>
  </w:num>
  <w:num w:numId="19">
    <w:abstractNumId w:val="26"/>
  </w:num>
  <w:num w:numId="20">
    <w:abstractNumId w:val="18"/>
  </w:num>
  <w:num w:numId="21">
    <w:abstractNumId w:val="28"/>
  </w:num>
  <w:num w:numId="22">
    <w:abstractNumId w:val="25"/>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0"/>
  </w:num>
  <w:num w:numId="26">
    <w:abstractNumId w:val="33"/>
  </w:num>
  <w:num w:numId="27">
    <w:abstractNumId w:val="7"/>
  </w:num>
  <w:num w:numId="28">
    <w:abstractNumId w:val="31"/>
  </w:num>
  <w:num w:numId="29">
    <w:abstractNumId w:val="21"/>
  </w:num>
  <w:num w:numId="30">
    <w:abstractNumId w:val="17"/>
  </w:num>
  <w:num w:numId="31">
    <w:abstractNumId w:val="24"/>
  </w:num>
  <w:num w:numId="32">
    <w:abstractNumId w:val="13"/>
  </w:num>
  <w:num w:numId="33">
    <w:abstractNumId w:val="3"/>
  </w:num>
  <w:num w:numId="34">
    <w:abstractNumId w:val="16"/>
  </w:num>
  <w:num w:numId="35">
    <w:abstractNumId w:val="9"/>
  </w:num>
  <w:num w:numId="36">
    <w:abstractNumId w:val="6"/>
  </w:num>
  <w:num w:numId="37">
    <w:abstractNumId w:val="37"/>
  </w:num>
  <w:num w:numId="38">
    <w:abstractNumId w:val="36"/>
  </w:num>
  <w:num w:numId="39">
    <w:abstractNumId w:val="34"/>
  </w:num>
  <w:num w:numId="40">
    <w:abstractNumId w:val="10"/>
  </w:num>
  <w:num w:numId="4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3F88"/>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003"/>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AC5"/>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6C3"/>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23B"/>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C2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0CE"/>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08F"/>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03C"/>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1E"/>
    <w:rsid w:val="00293690"/>
    <w:rsid w:val="00293C4F"/>
    <w:rsid w:val="00293E2D"/>
    <w:rsid w:val="00293F44"/>
    <w:rsid w:val="0029451A"/>
    <w:rsid w:val="00294592"/>
    <w:rsid w:val="00294860"/>
    <w:rsid w:val="0029558F"/>
    <w:rsid w:val="00295815"/>
    <w:rsid w:val="00295AAC"/>
    <w:rsid w:val="002960F3"/>
    <w:rsid w:val="0029623F"/>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3E4"/>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738"/>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2ED3"/>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3B"/>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1FA"/>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5B7"/>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3B"/>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19F"/>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5F7D87"/>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2C34"/>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A39"/>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1D6B"/>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1E2D"/>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6FA"/>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4E4D"/>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02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AF4"/>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17"/>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652"/>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72B"/>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1D7"/>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08"/>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2F"/>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59D2"/>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333"/>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6F9"/>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8E9"/>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E86"/>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30"/>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554"/>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3EB5"/>
    <w:rsid w:val="00D84853"/>
    <w:rsid w:val="00D848FB"/>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347"/>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354"/>
    <w:rsid w:val="00E1647C"/>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571"/>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6C6E"/>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7CD"/>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98E"/>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85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22E"/>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3E82"/>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2652320">
      <w:bodyDiv w:val="1"/>
      <w:marLeft w:val="0"/>
      <w:marRight w:val="0"/>
      <w:marTop w:val="0"/>
      <w:marBottom w:val="0"/>
      <w:divBdr>
        <w:top w:val="none" w:sz="0" w:space="0" w:color="auto"/>
        <w:left w:val="none" w:sz="0" w:space="0" w:color="auto"/>
        <w:bottom w:val="none" w:sz="0" w:space="0" w:color="auto"/>
        <w:right w:val="none" w:sz="0" w:space="0" w:color="auto"/>
      </w:divBdr>
      <w:divsChild>
        <w:div w:id="350646282">
          <w:marLeft w:val="547"/>
          <w:marRight w:val="0"/>
          <w:marTop w:val="115"/>
          <w:marBottom w:val="0"/>
          <w:divBdr>
            <w:top w:val="none" w:sz="0" w:space="0" w:color="auto"/>
            <w:left w:val="none" w:sz="0" w:space="0" w:color="auto"/>
            <w:bottom w:val="none" w:sz="0" w:space="0" w:color="auto"/>
            <w:right w:val="none" w:sz="0" w:space="0" w:color="auto"/>
          </w:divBdr>
        </w:div>
        <w:div w:id="9528763">
          <w:marLeft w:val="547"/>
          <w:marRight w:val="0"/>
          <w:marTop w:val="115"/>
          <w:marBottom w:val="0"/>
          <w:divBdr>
            <w:top w:val="none" w:sz="0" w:space="0" w:color="auto"/>
            <w:left w:val="none" w:sz="0" w:space="0" w:color="auto"/>
            <w:bottom w:val="none" w:sz="0" w:space="0" w:color="auto"/>
            <w:right w:val="none" w:sz="0" w:space="0" w:color="auto"/>
          </w:divBdr>
        </w:div>
        <w:div w:id="552277962">
          <w:marLeft w:val="1166"/>
          <w:marRight w:val="0"/>
          <w:marTop w:val="96"/>
          <w:marBottom w:val="0"/>
          <w:divBdr>
            <w:top w:val="none" w:sz="0" w:space="0" w:color="auto"/>
            <w:left w:val="none" w:sz="0" w:space="0" w:color="auto"/>
            <w:bottom w:val="none" w:sz="0" w:space="0" w:color="auto"/>
            <w:right w:val="none" w:sz="0" w:space="0" w:color="auto"/>
          </w:divBdr>
        </w:div>
        <w:div w:id="290213201">
          <w:marLeft w:val="1166"/>
          <w:marRight w:val="0"/>
          <w:marTop w:val="96"/>
          <w:marBottom w:val="0"/>
          <w:divBdr>
            <w:top w:val="none" w:sz="0" w:space="0" w:color="auto"/>
            <w:left w:val="none" w:sz="0" w:space="0" w:color="auto"/>
            <w:bottom w:val="none" w:sz="0" w:space="0" w:color="auto"/>
            <w:right w:val="none" w:sz="0" w:space="0" w:color="auto"/>
          </w:divBdr>
        </w:div>
        <w:div w:id="1855339005">
          <w:marLeft w:val="547"/>
          <w:marRight w:val="0"/>
          <w:marTop w:val="115"/>
          <w:marBottom w:val="0"/>
          <w:divBdr>
            <w:top w:val="none" w:sz="0" w:space="0" w:color="auto"/>
            <w:left w:val="none" w:sz="0" w:space="0" w:color="auto"/>
            <w:bottom w:val="none" w:sz="0" w:space="0" w:color="auto"/>
            <w:right w:val="none" w:sz="0" w:space="0" w:color="auto"/>
          </w:divBdr>
        </w:div>
      </w:divsChild>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57614-D546-4C14-80DF-B410B270F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43</TotalTime>
  <Pages>2</Pages>
  <Words>762</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38</cp:revision>
  <cp:lastPrinted>2009-04-22T21:01:00Z</cp:lastPrinted>
  <dcterms:created xsi:type="dcterms:W3CDTF">2020-05-10T23:05:00Z</dcterms:created>
  <dcterms:modified xsi:type="dcterms:W3CDTF">2020-05-15T18:30:00Z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